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微软雅黑" w:hAnsi="微软雅黑" w:eastAsia="微软雅黑" w:cs="微软雅黑"/>
          <w:b/>
          <w:color w:val="FF0000"/>
          <w:sz w:val="72"/>
          <w:szCs w:val="72"/>
        </w:rPr>
      </w:pPr>
      <w:bookmarkStart w:id="7" w:name="_GoBack"/>
      <w:bookmarkEnd w:id="7"/>
      <w:r>
        <w:rPr>
          <w:rFonts w:hint="eastAsia" w:ascii="微软雅黑" w:hAnsi="微软雅黑" w:eastAsia="微软雅黑" w:cs="微软雅黑"/>
          <w:b/>
          <w:color w:val="FF0000"/>
          <w:sz w:val="72"/>
          <w:szCs w:val="72"/>
        </w:rPr>
        <w:t>西北大学公共管理学院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133350</wp:posOffset>
                </wp:positionV>
                <wp:extent cx="5927725" cy="190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7725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5pt;margin-top:10.5pt;height:0.15pt;width:466.75pt;z-index:251658240;mso-width-relative:page;mso-height-relative:page;" filled="f" stroked="t" coordsize="21600,21600" o:gfxdata="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NQtkrXAAAACAEAAA8AAAAAAAAAAQAgAAAAIgAAAGRycy9kb3du&#10;cmV2LnhtbFBLAQIUABQAAAAIAIdO4kCcQws/xwEAAIQDAAAOAAAAAAAAAAEAIAAAACYBAABkcnMv&#10;ZTJvRG9jLnhtbFBLBQYAAAAABgAGAFkBAABf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auto"/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公共管理学院关于本科</w:t>
      </w:r>
      <w:bookmarkStart w:id="0" w:name="_Hlk17790436"/>
      <w:r>
        <w:rPr>
          <w:rFonts w:hint="eastAsia" w:ascii="微软雅黑" w:hAnsi="微软雅黑" w:eastAsia="微软雅黑" w:cs="微软雅黑"/>
          <w:b/>
          <w:sz w:val="30"/>
          <w:szCs w:val="30"/>
        </w:rPr>
        <w:t>专业平台课程授课教师聘任</w:t>
      </w:r>
      <w:bookmarkEnd w:id="0"/>
      <w:r>
        <w:rPr>
          <w:rFonts w:hint="eastAsia" w:ascii="微软雅黑" w:hAnsi="微软雅黑" w:eastAsia="微软雅黑" w:cs="微软雅黑"/>
          <w:b/>
          <w:sz w:val="30"/>
          <w:szCs w:val="30"/>
        </w:rPr>
        <w:t>及管理办法</w:t>
      </w:r>
    </w:p>
    <w:p>
      <w:pPr>
        <w:pStyle w:val="4"/>
        <w:widowControl/>
        <w:spacing w:line="520" w:lineRule="exact"/>
        <w:ind w:firstLine="420"/>
        <w:jc w:val="both"/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</w:pP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第一条 为贯彻落实《西北大学关于新时代进一步加强本科教学工作若干意见》，结合学院“一院一策”综合改革，学院决定：本科人才培养方案中所有平台课程，建立“竞争上岗、学生选择、聘期考核、动态调整”的制度。为规范管理，特制定本办法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 xml:space="preserve">第二条 </w:t>
      </w:r>
      <w:bookmarkStart w:id="1" w:name="_Hlk17790752"/>
      <w:bookmarkStart w:id="2" w:name="_Hlk17792291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平台课程授课教师聘任</w:t>
      </w:r>
      <w:bookmarkEnd w:id="1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基本条件</w:t>
      </w:r>
      <w:bookmarkEnd w:id="2"/>
    </w:p>
    <w:p>
      <w:pPr>
        <w:pStyle w:val="4"/>
        <w:widowControl/>
        <w:spacing w:line="520" w:lineRule="exact"/>
        <w:ind w:firstLine="560" w:firstLineChars="20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聘课教师须为热爱本科教学工作、教学经验丰富、教学效果良好的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西北大学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在职在岗且具有副教授及以上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职称或博士学位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或具有十年以上教龄的教师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第三条 平台课程授课教师聘任基本原则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1、符合基本条件的教师均可申请聘任学院各专业的平台课程，申请课程的门数不超过两门；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、《管理学原理》课程计划聘任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5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人，公共管理大类各专业平台课程</w:t>
      </w:r>
      <w:bookmarkStart w:id="3" w:name="_Hlk17805984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每门课程</w:t>
      </w:r>
      <w:bookmarkEnd w:id="3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计划聘任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人，管理科学、图书馆学、档案馆学各专业平台课程每门课程计划聘任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3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人；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同等条件下优先聘任在各级各类讲课比赛中获奖的教师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3、获得聘课资格的教师，由学院将教师信息上传至选课系统，学生选课人数少于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人者不能开课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，同一课程同一教师的选课人数不超过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60人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4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、连续两次未开课者或连续两次考评不合格者取消聘课资格；</w:t>
      </w:r>
    </w:p>
    <w:p>
      <w:pPr>
        <w:pStyle w:val="4"/>
        <w:widowControl/>
        <w:spacing w:line="520" w:lineRule="exact"/>
        <w:ind w:firstLine="420"/>
        <w:jc w:val="both"/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5、各平台课程在获聘教师中由本人申请学院聘任一名课程负责人，课程负责人应为副教授及以上职称。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bookmarkStart w:id="4" w:name="_Hlk17807087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条 课程负责人职责</w:t>
      </w:r>
    </w:p>
    <w:bookmarkEnd w:id="4"/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1</w:t>
      </w:r>
      <w:bookmarkStart w:id="5" w:name="_Hlk17807154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</w:t>
      </w:r>
      <w:bookmarkEnd w:id="5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负责课程的全面建设，包括团队成员的管理、教材建设、内容更新、课程实验、进度安排、考试考核、方法创新和对外协作等工作；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、完成学院安排的课程相关工作；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3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、负责将本门课程建设为校级及以上精品课程，尚未获得各级各类精品课程的课程，课程负责人聘期内应至少组织申报一次校级及以上精品课程；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4、</w:t>
      </w:r>
      <w:bookmarkStart w:id="6" w:name="_Hlk17807433"/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课程负责人和学院签订责任书，作为考核依据。</w:t>
      </w:r>
    </w:p>
    <w:bookmarkEnd w:id="6"/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第五条 授课教师职责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1、服从课程负责人关于课程的工作安排；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、创新教学方式方法及时听取学生意见，不断提高课程教学质量；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3、授课教师和学院签订责任书，作为考核依据。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第六条 聘任工作由学院负责实施。学院邀请校外专家、学校教学督导组成员组成课程聘任考评小组，聘课教师进行不超过2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0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分钟的答辩，根据得分排序，经学院党政联席会审批后公布聘任结果。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条 平台课教师的聘期为三年，受聘期间年度考核合格者原则上不予更换。如因特殊原因需要更换，由本人提出更换意见并经课程负责人同意后提交教务办备案，由主管教学副院长审批。受聘期间若发生教学事故的教师必须更换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八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条 聘课教师的考核分两部分：年度考核由学院教务办在每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学期结束前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组织实施，主要依据是聘课教师与学院签订的责任书，考核结果作为学院发放课时津贴的依据；聘任三年期满后的考核由学院聘任工作领导小组实施，考核结果向全院公布。</w:t>
      </w:r>
    </w:p>
    <w:p>
      <w:pPr>
        <w:pStyle w:val="4"/>
        <w:widowControl/>
        <w:spacing w:line="520" w:lineRule="exact"/>
        <w:ind w:firstLine="42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第九条 聘课教师由学院考核合格后享受学院下拨的课时津贴，平台课程负责人发放标准为0.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2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万元/人/年，平台课程按学院现行课时标准的1</w:t>
      </w:r>
      <w:r>
        <w:rPr>
          <w:rFonts w:asciiTheme="minorEastAsia" w:hAnsiTheme="minorEastAsia" w:cstheme="minorEastAsia"/>
          <w:color w:val="000000"/>
          <w:kern w:val="2"/>
          <w:sz w:val="28"/>
          <w:szCs w:val="28"/>
        </w:rPr>
        <w:t>20%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发放。</w:t>
      </w:r>
    </w:p>
    <w:p>
      <w:pPr>
        <w:pStyle w:val="4"/>
        <w:widowControl/>
        <w:spacing w:line="520" w:lineRule="exact"/>
        <w:ind w:firstLine="280" w:firstLineChars="100"/>
        <w:jc w:val="both"/>
        <w:rPr>
          <w:rFonts w:asciiTheme="minorEastAsia" w:hAnsiTheme="minorEastAsia" w:cs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第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十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条 本办法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eastAsia="zh-CN"/>
        </w:rPr>
        <w:t>及未尽事宜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由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  <w:lang w:val="en-US" w:eastAsia="zh-CN"/>
        </w:rPr>
        <w:t>学院学术委员会</w:t>
      </w:r>
      <w:r>
        <w:rPr>
          <w:rFonts w:hint="eastAsia" w:asciiTheme="minorEastAsia" w:hAnsiTheme="minorEastAsia" w:cstheme="minorEastAsia"/>
          <w:color w:val="000000"/>
          <w:kern w:val="2"/>
          <w:sz w:val="28"/>
          <w:szCs w:val="28"/>
        </w:rPr>
        <w:t>负责解释。</w:t>
      </w:r>
    </w:p>
    <w:p>
      <w:pPr>
        <w:spacing w:line="520" w:lineRule="exact"/>
        <w:ind w:firstLine="6440" w:firstLineChars="230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公共管理学院</w:t>
      </w:r>
    </w:p>
    <w:p>
      <w:pPr>
        <w:spacing w:line="52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201</w:t>
      </w:r>
      <w:r>
        <w:rPr>
          <w:rFonts w:asciiTheme="minorEastAsia" w:hAnsiTheme="minorEastAsia" w:cstheme="minorEastAsia"/>
          <w:color w:val="000000"/>
          <w:sz w:val="28"/>
          <w:szCs w:val="28"/>
        </w:rPr>
        <w:t>9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color w:val="000000"/>
          <w:sz w:val="28"/>
          <w:szCs w:val="28"/>
        </w:rPr>
        <w:t>日</w:t>
      </w:r>
    </w:p>
    <w:sectPr>
      <w:pgSz w:w="11906" w:h="16838"/>
      <w:pgMar w:top="851" w:right="1286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93"/>
    <w:rsid w:val="000A1A68"/>
    <w:rsid w:val="000C2E2C"/>
    <w:rsid w:val="000F37A9"/>
    <w:rsid w:val="002105CC"/>
    <w:rsid w:val="00245331"/>
    <w:rsid w:val="00250D84"/>
    <w:rsid w:val="00250FB1"/>
    <w:rsid w:val="002656C7"/>
    <w:rsid w:val="002C4636"/>
    <w:rsid w:val="002F2367"/>
    <w:rsid w:val="002F4131"/>
    <w:rsid w:val="00306E2E"/>
    <w:rsid w:val="00347117"/>
    <w:rsid w:val="00617270"/>
    <w:rsid w:val="00647C12"/>
    <w:rsid w:val="006C3581"/>
    <w:rsid w:val="00757467"/>
    <w:rsid w:val="007E5190"/>
    <w:rsid w:val="0084038B"/>
    <w:rsid w:val="00847D14"/>
    <w:rsid w:val="00873F3A"/>
    <w:rsid w:val="008C0B52"/>
    <w:rsid w:val="008E332A"/>
    <w:rsid w:val="0092488B"/>
    <w:rsid w:val="009B11C2"/>
    <w:rsid w:val="009D057C"/>
    <w:rsid w:val="00A13349"/>
    <w:rsid w:val="00B41A2F"/>
    <w:rsid w:val="00B8618C"/>
    <w:rsid w:val="00BC3D33"/>
    <w:rsid w:val="00BD13C4"/>
    <w:rsid w:val="00BE75BB"/>
    <w:rsid w:val="00C479FD"/>
    <w:rsid w:val="00C72A99"/>
    <w:rsid w:val="00CE1D96"/>
    <w:rsid w:val="00D257D8"/>
    <w:rsid w:val="00D42885"/>
    <w:rsid w:val="00D63B93"/>
    <w:rsid w:val="00DC65DA"/>
    <w:rsid w:val="00E456F6"/>
    <w:rsid w:val="00E510D3"/>
    <w:rsid w:val="00F01C9B"/>
    <w:rsid w:val="00F06A0A"/>
    <w:rsid w:val="00F37DC8"/>
    <w:rsid w:val="00FD7FB0"/>
    <w:rsid w:val="02464FA7"/>
    <w:rsid w:val="02C87A4F"/>
    <w:rsid w:val="03E36F13"/>
    <w:rsid w:val="08615D84"/>
    <w:rsid w:val="08A435B2"/>
    <w:rsid w:val="0BAD6AFB"/>
    <w:rsid w:val="0C2D1674"/>
    <w:rsid w:val="0D203AA7"/>
    <w:rsid w:val="0D445DDB"/>
    <w:rsid w:val="10733328"/>
    <w:rsid w:val="12F320FA"/>
    <w:rsid w:val="13EF4BCD"/>
    <w:rsid w:val="14676249"/>
    <w:rsid w:val="16873572"/>
    <w:rsid w:val="18FA50C6"/>
    <w:rsid w:val="1A687031"/>
    <w:rsid w:val="1B652C1D"/>
    <w:rsid w:val="1BD55016"/>
    <w:rsid w:val="1CED1DB0"/>
    <w:rsid w:val="1D3D72F1"/>
    <w:rsid w:val="1E4B2B4B"/>
    <w:rsid w:val="282A4469"/>
    <w:rsid w:val="28D63570"/>
    <w:rsid w:val="293429B5"/>
    <w:rsid w:val="2994326F"/>
    <w:rsid w:val="2B1D492B"/>
    <w:rsid w:val="2B2C55AB"/>
    <w:rsid w:val="2B733D82"/>
    <w:rsid w:val="2DB4220B"/>
    <w:rsid w:val="2EA420B6"/>
    <w:rsid w:val="2F3D486B"/>
    <w:rsid w:val="2FA02217"/>
    <w:rsid w:val="30A701DE"/>
    <w:rsid w:val="317E3A9C"/>
    <w:rsid w:val="31C406D2"/>
    <w:rsid w:val="31D4006D"/>
    <w:rsid w:val="31FF2859"/>
    <w:rsid w:val="32492B6D"/>
    <w:rsid w:val="328D2456"/>
    <w:rsid w:val="33E27489"/>
    <w:rsid w:val="3C891666"/>
    <w:rsid w:val="3F0C1830"/>
    <w:rsid w:val="3F0C4ED3"/>
    <w:rsid w:val="3F78208A"/>
    <w:rsid w:val="3FD43432"/>
    <w:rsid w:val="402F17AF"/>
    <w:rsid w:val="40780156"/>
    <w:rsid w:val="40920F17"/>
    <w:rsid w:val="42425615"/>
    <w:rsid w:val="4476004D"/>
    <w:rsid w:val="46826701"/>
    <w:rsid w:val="47237C6A"/>
    <w:rsid w:val="47B21E6D"/>
    <w:rsid w:val="4DB73DAD"/>
    <w:rsid w:val="4E9349C0"/>
    <w:rsid w:val="4F313AED"/>
    <w:rsid w:val="518062B8"/>
    <w:rsid w:val="53226A65"/>
    <w:rsid w:val="53F061FA"/>
    <w:rsid w:val="54A03E6E"/>
    <w:rsid w:val="56084F8C"/>
    <w:rsid w:val="5612462F"/>
    <w:rsid w:val="562C0A4B"/>
    <w:rsid w:val="58E6174A"/>
    <w:rsid w:val="59D806C6"/>
    <w:rsid w:val="5A801870"/>
    <w:rsid w:val="5BCC2645"/>
    <w:rsid w:val="5C1F74AD"/>
    <w:rsid w:val="5D2D0366"/>
    <w:rsid w:val="5EF57801"/>
    <w:rsid w:val="61C86089"/>
    <w:rsid w:val="636415C1"/>
    <w:rsid w:val="63E04BC8"/>
    <w:rsid w:val="64B5564D"/>
    <w:rsid w:val="658E4F2E"/>
    <w:rsid w:val="65A77453"/>
    <w:rsid w:val="678F3DBE"/>
    <w:rsid w:val="685E4322"/>
    <w:rsid w:val="69D4012C"/>
    <w:rsid w:val="6A45726A"/>
    <w:rsid w:val="6AB60060"/>
    <w:rsid w:val="6D26220B"/>
    <w:rsid w:val="6D3F14E9"/>
    <w:rsid w:val="6E1C3756"/>
    <w:rsid w:val="6E344584"/>
    <w:rsid w:val="6EE77354"/>
    <w:rsid w:val="70DE2FD2"/>
    <w:rsid w:val="733620A1"/>
    <w:rsid w:val="759E21A2"/>
    <w:rsid w:val="76336DCF"/>
    <w:rsid w:val="78B40140"/>
    <w:rsid w:val="79164421"/>
    <w:rsid w:val="7C7D4EC3"/>
    <w:rsid w:val="7CD047C9"/>
    <w:rsid w:val="7DEB3897"/>
    <w:rsid w:val="7F1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line="500" w:lineRule="exact"/>
      <w:ind w:firstLine="480" w:firstLineChars="200"/>
    </w:pPr>
    <w:rPr>
      <w:sz w:val="24"/>
      <w:szCs w:val="2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333333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yperlink"/>
    <w:basedOn w:val="6"/>
    <w:unhideWhenUsed/>
    <w:qFormat/>
    <w:uiPriority w:val="99"/>
    <w:rPr>
      <w:color w:val="333333"/>
      <w:u w:val="none"/>
    </w:rPr>
  </w:style>
  <w:style w:type="paragraph" w:customStyle="1" w:styleId="11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1160</Words>
  <Characters>1171</Characters>
  <Lines>8</Lines>
  <Paragraphs>2</Paragraphs>
  <TotalTime>10</TotalTime>
  <ScaleCrop>false</ScaleCrop>
  <LinksUpToDate>false</LinksUpToDate>
  <CharactersWithSpaces>1225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2019-08-27T00:56:00Z</dcterms:created>
  <dc:creator>zhaishaoguo</dc:creator>
  <cp:lastModifiedBy>杨九龙</cp:lastModifiedBy>
  <cp:lastPrinted>2019-08-27T06:37:00Z</cp:lastPrinted>
  <dcterms:modified xsi:type="dcterms:W3CDTF">2019-09-30T05:06:19Z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